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bookmarkStart w:id="0" w:name="_Toc0"/><w:r><w:t>Dados Abertos</w:t></w:r><w:bookmarkEnd w:id="0"/></w:p><w:p><w:pPr/><w:r><w:rPr><w:sz w:val="22"/><w:szCs w:val="22"/></w:rPr><w:t xml:space="preserve">        
            var CMOB_DA = {
                saplProxy: "https:\/\/cmob.rn.gov.br\/wp-json\/dados-abertos\/v1\/sapl",
                wpBase: "https:\/\/cmob.rn.gov.br\/wp-json\/wp\/v2",
                saplPublico: "https:\/\/sapl.ourobranco.rn.leg.br",
                grupos: [{"grupo":"Atividade Legislativa (SAPL)","icone":"dashicons-bank","itens":[{"slug":"parlamentares","titulo":"Parlamentares","desc":"Vereadores e vereadoras, com legislatura, partido e mandato.","icone":"dashicons-groups","freq":"Por legislatura","fonte":"sapl","linkSite":"https:\/\/sapl.ourobranco.rn.leg.br\/parlamentar\/"},{"slug":"materias","titulo":"Mat\u00e9rias Legislativas","desc":"Projetos de lei, requerimentos, indica\u00e7\u00f5es e demais mat\u00e9rias em tramita\u00e7\u00e3o.","icone":"dashicons-media-document","freq":"Di\u00e1ria","fonte":"sapl","linkSite":"https:\/\/sapl.ourobranco.rn.leg.br\/materia\/"},{"slug":"sessoes","titulo":"Sess\u00f5es Plen\u00e1rias","desc":"Sess\u00f5es ordin\u00e1rias, extraordin\u00e1rias e solenes realizadas pela Casa.","icone":"dashicons-megaphone","freq":"Semanal","fonte":"sapl","linkSite":"https:\/\/sapl.ourobranco.rn.leg.br\/sessao\/"},{"slug":"normas","titulo":"Normas Jur\u00eddicas","desc":"Leis ordin\u00e1rias, leis complementares, resolu\u00e7\u00f5es e demais normas aprovadas.","icone":"dashicons-book-alt","freq":"Eventual","fonte":"sapl","linkSite":"https:\/\/sapl.ourobranco.rn.leg.br\/norma\/"},{"slug":"comissoes","titulo":"Comiss\u00f5es","desc":"Comiss\u00f5es permanentes e tempor\u00e1rias com sua composi\u00e7\u00e3o.","icone":"dashicons-clipboard","freq":"Por legislatura","fonte":"sapl","linkSite":"https:\/\/sapl.ourobranco.rn.leg.br\/comissoes\/"}]},{"grupo":"Atos e Publica\u00e7\u00f5es","icone":"dashicons-portfolio","itens":[{"slug":"diario-oficial","titulo":"Di\u00e1rio Oficial","desc":"Edi\u00e7\u00f5es do Di\u00e1rio Oficial do Legislativo Municipal.","icone":"dashicons-media-text","freq":"Di\u00e1ria","fonte":"wp","linkSite":"https:\/\/cmob.rn.gov.br\/diario-oficial\/"},{"slug":"regimento-interno","titulo":"Regimento Interno","desc":"Regimento Interno da C\u00e2mara Municipal.","icone":"dashicons-welcome-write-blog","freq":"Eventual","fonte":"wp","linkSite":"https:\/\/cmob.rn.gov.br\/regimento-interno\/"},{"slug":"lei-organica","titulo":"Lei Org\u00e2nica","desc":"Lei Org\u00e2nica do Munic\u00edpio.","icone":"dashicons-book","freq":"Eventual","fonte":"wp","linkSite":"https:\/\/cmob.rn.gov.br\/lei-organica\/"},{"slug":"editais","titulo":"Editais","desc":"Editais publicados pela C\u00e2mara.","icone":"dashicons-paperclip","freq":"Eventual","fonte":"wp","linkSite":"https:\/\/cmob.rn.gov.br\/editais\/"},{"slug":"avisos-de-licitacoes","titulo":"Avisos de Licita\u00e7\u00f5es","desc":"Avisos de licita\u00e7\u00f5es da C\u00e2mara.","icone":"dashicons-megaphone","freq":"Eventual","fonte":"wp","linkSite":"https:\/\/cmob.rn.gov.br\/avisos-de-licitacoes\/"},{"slug":"convenios-transf","titulo":"Conv\u00eanios e Transfer\u00eancias","desc":"Conv\u00eanios firmados e transfer\u00eancias realizadas.","icone":"dashicons-networking","freq":"Eventual","fonte":"wp","linkSite":"https:\/\/cmob.rn.gov.br\/convenios-transf\/"},{"slug":"concursos","titulo":"Concursos","desc":"Concursos p\u00fablicos realizados pela C\u00e2mara.","icone":"dashicons-awards","freq":"Eventual","fonte":"wp","linkSite":"https:\/\/cmob.rn.gov.br\/concursos\/"}]},{"grupo":"Comunica\u00e7\u00e3o e Institucional","icone":"dashicons-format-status","itens":[{"slug":"posts","titulo":"Not\u00edcias","desc":"Not\u00edcias publicadas no portal da C\u00e2mara.","icone":"dashicons-admin-post","freq":"Di\u00e1ria","fonte":"wp","linkSite":"https:\/\/cmob.rn.gov.br\/noticias\/"},{"slug":"eventos","titulo":"Eventos","desc":"Agenda de eventos da Casa.","icone":"dashicons-calendar-alt","freq":"Eventual","fonte":"wp","linkSite":"https:\/\/cmob.rn.gov.br\/eventos\/"},{"slug":"galerias-de-imagens","titulo":"Galerias de Imagens","desc":"Galerias fotogr\u00e1ficas de eventos e atividades.","icone":"dashicons-format-gallery","freq":"Eventual","fonte":"wp","linkSite":"https:\/\/cmob.rn.gov.br\/galerias-de-imagens\/"},{"slug":"vereador","titulo":"Vereadores (Portal)","desc":"Perfis institucionais dos vereadores no portal.","icone":"dashicons-businessperson","freq":"Por legislatura","fonte":"wp","linkSite":"https:\/\/cmob.rn.gov.br\/vereadores\/"},{"slug":"glossario","titulo":"Gloss\u00e1rio","desc":"Termos do processo legislativo explicados.","icone":"dashicons-editor-help","freq":"Eventual","fonte":"wp","linkSite":"https:\/\/cmob.rn.gov.br\/glossario\/"},{"slug":"acesso-rapido","titulo":"Acesso R\u00e1pido","desc":"Atalhos institucionais destacados no portal.","icone":"dashicons-external","freq":"Eventual","fonte":"wp","linkSite":"https:\/\/cmob.rn.gov.br\/acesso-rapido\/"}]}]            };
        

        

            
                Portal de Dados Abertos
                
            

            
                Esta página reúne, em formato aberto e legível por máquina, os dados produzidos
                pela Câmara Municipal de Ouro Branco/RN, permitindo tanto a consulta pelo cidadão quanto o
                acesso automatizado por sistemas externos por meio de APIs públicas.
                Reúne a atividade legislativa (SAPL/Interlegis) e os conteúdos administrativos e institucionais
                (publicados no portal).
            

            
                O que são Dados Abertos
                Conjuntos e Recursos
                Acesso automatizado (API)
                Consultar e baixar
                Catálogo de dados
                Regras de utilização
            

            
            
                O que são Dados Abertos
                
                    Dados Abertos são aqueles disponibilizados em formato apto à livre utilização e redistribuição
                    por qualquer pessoa, sem restrição de licenças, patentes ou mecanismos de controle, permitindo
                    sua reutilização e combinação com outros conjuntos de dados.
                
                Por consenso, seguem os seguintes princípios:
                
                    CompletosDisponibilizados em sua totalidade.
                    PrimáriosColetados na fonte, com o maior nível de detalhe.
                    AtuaisPublicados tão rapidamente quanto possível.
                    AcessíveisDisponíveis ao maior número de usuários e finalidades.
                    Processáveis por máquinaEstruturados para processamento automatizado.
                    Não discriminatóriosDisponíveis sem necessidade de cadastro.
                    Não proprietáriosEm formato aberto, sem controle exclusivo.
                    Livres de licençasNão sujeitos a direito autoral ou patente restritiva.
                
            

            
            
                Conjuntos de Dados e Recursos
                
                    Os dados estão organizados em Conjuntos de Dados e Recursos.
                    Cada Conjunto (por exemplo, “Matérias Legislativas”, “Diário Oficial”) possui descrição, um ou
                    mais Recursos e metadados como frequência de atualização, grupo e esfera. Cada Recurso é um
                    endpoint de API que devolve as informações em JSON, com exportação
                    em CSV pela ferramenta de consulta abaixo.
                
                
                     Este portal reúne duas fontes:
                    (1) a atividade legislativa no SAPL (via proxy com cache e limite de uso) e
                    (2) os conteúdos do próprio portal, pela API REST.
                
            

            
            
                Acesso automatizado por sistemas externos (API)
                Consumo direto por outros sistemas, sem cadastro. Respostas em JSON.

                1. Atividade legislativa (SAPL, via proxy do portal)
                
                    
                        Endpoint
                        https://cmob.rn.gov.br/wp-json/dados-abertos/v1/sapl?modulo={slug}
                    
                    
                        Módulos (slug)
                        parlamentares | materias | sessoes | normas | comissoes
                    
                    
                        Parâmetros
                        formato=json|csv · page=N
                    
                    
                        API original do SAPL
                        https://sapl.ourobranco.rn.leg.br/api/
                    
                

                2. Conteúdos do portal (API REST)
                
                    
                        Endpoint
                        https://cmob.rn.gov.br/wp-json/wp/v2/{recurso}
                    
                    
                        Parâmetros REST
                        per_page · page · search · orderby · order
                    
                
                O acesso é livre, gratuito e não exige chave de API, cadastro ou autenticação.
            

            
            
                Consultar e baixar os dados
                Escolha um conjunto e clique em Consultar. Navegue pelos registros e baixe em CSV ou JSON.

                
                    
                        Conjunto de dados
                        
                    
                    
                        Por página
                        
                            10
                            20
                            50
                        
                    
                    
                         Consultar
                    
                    
                        Baixar CSV
                        Baixar JSON
                        Abrir na API
                    
                

                &nbsp;
                 Carregando dados…

                
                    
                        
                        
                    
                

                
                    «
                    ‹ Anterior
                    Página  de 1
                    Próxima ›
                    »
                
            

            
            
                Catálogo de Conjuntos de Dados
                Esfera: Municipal &nbsp;|&nbsp; Formatos: JSON e CSV. Use a busca para localizar um conjunto.

                
                    
                    
                

                
                 Nenhum conjunto encontrado.
            

            
            
                Regras de Utilização
                
                    Qualquer pessoa física ou jurídica pode acessar as informações e os dados públicos deste Portal.
                    Os dados são públicos e o Portal não estabelece restrições específicas relativas ao seu uso, sendo
                    livre para qualquer finalidade, no limite das restrições legais.
                
                
                    Licença: Creative Commons Atribuição
                        (CC BY 4.0).
                    
                        O acesso é gratuito e não exige cadastro, identificação ou autenticação.
                        É permitida a reutilização, a redistribuição e a combinação com outros conjuntos, inclusive para fins comerciais, desde que citada a fonte: Câmara Municipal de Ouro Branco/RN.
                        Limite de uso do proxy SAPL: 60 requisições por minuto por IP (acima disso, HTTP 429); respostas cacheadas por 5 minutos.
                        Os dados são disponibilizados no estado em que se encontram; em caso de divergência, prevalece a versão oficial.
                    
                

                Fundamentação legal
                
                    Art. 8º, §3º, incisos II e III da Lei nº 12.527/2011 (Lei de Acesso à Informação — LAI).
                    Art. 3º, inciso XXV e Art. 24, inciso V da Lei nº 14.129/2021 (Lei do Governo Digital).
                    Resolução nº 3/2007 e normas do Interlegis/Senado Federal (SAPL).
                    Lei nº 13.709/2018 (Lei Geral de Proteção de Dados Pessoais — LGPD).
                
            

            
            
                
                
                    
                        Detalhes do registro
                        &times;
                    
                    
                
            

        

        
            .da-wrap {
                max-width: 1140px;
                margin: 0 auto;
                padding: 1rem;
                color: #1f2937;
                font-size: 15px;
                line-height: 1.65
            }

            .da-wrap .da-titulo-pagina {
                font-weight: 700;
                text-transform: uppercase;
                color: #111
            }

            .da-wrap .da-titulo-pagina+hr {
                border: 0;
                border-top: 3px solid #0d6efd;
                width: 70px;
                margin: 10px 0 16px
            }

            .da-wrap .da-intro {
                font-size: 16px
            }

            .da-wrap .da-h {
                font-size: 21px;
                font-weight: 700;
                margin: 0 0 12px;
                padding-bottom: 8px;
                border-bottom: 2px solid #e6eaef;
                color: #0a58ca
            }

            .da-wrap .da-h5 {
                font-size: 16px;
                font-weight: 700;
                margin: 18px 0 8px;
                color: #0a58ca
            }

            .da-wrap .da-section {
                margin: 30px 0;
                scroll-margin-top: 80px
            }

            .da-wrap .da-muted {
                color: #5b6470;
                font-size: 14px
            }

            .da-wrap a.da-link {
                color: #0d6efd;
                text-decoration: none
            }

            .da-wrap a.da-link:hover {
                text-decoration: underline
            }

            .da-wrap .da-nav {
                display: flex;
                flex-wrap: wrap;
                gap: 8px;
                margin: 6px 0
            }

            .da-wrap .da-nav a {
                font-size: 13px;
                padding: 7px 12px;
                background: #eef4fe;
                border: 1px solid #d6e4fb;
                border-radius: 20px;
                color: #0a58ca;
                text-decoration: none
            }

            .da-wrap .da-nav a:hover {
                background: #0d6efd;
                color: #fff
            }

            .da-wrap .da-principios {
                list-style: none;
                padding: 0;
                margin: 14px 0 0;
                display: grid;
                grid-template-columns: repeat(auto-fill, minmax(240px, 1fr));
                gap: 10px
            }

            .da-wrap .da-principios li {
                background: #f7f9fc;
                border: 1px solid #e6eaef;
                border-left: 4px solid #0d6efd;
                border-radius: 6px;
                padding: 10px 12px;
                font-size: 13.5px;
                color: #42505f
            }

            .da-wrap .da-principios li span {
                display: block;
                font-weight: 700;
                color: #0a58ca;
                margin-bottom: 2px
            }

            .da-wrap .da-api-box {
                background: #f7f9fc;
                border: 1px solid #e6eaef;
                border-radius: 8px;
                padding: 10px 16px;
                margin: 8px 0
            }

            .da-wrap .da-api-row {
                display: flex;
                align-items: center;
                flex-wrap: wrap;
                gap: 10px;
                padding: 7px 0;
                border-bottom: 1px dashed #e1e7ee
            }

            .da-wrap .da-api-row:last-child {
                border-bottom: 0
            }

            .da-wrap .da-label {
                min-width: 190px;
                font-weight: 600;
                color: #42505f;
                font-size: 13.5px
            }

            .da-wrap .da-code {
                background: #0f2540;
                color: #d6e6ff;
                padding: 5px 10px;
                border-radius: 5px;
                font-size: 12.5px;
                word-break: break-all
            }

            .da-wrap code {
                background: #eef2ff;
                padding: 1px 6px;
                border-radius: 4px;
                font-size: 13px;
                word-break: break-all
            }

            .da-wrap .da-toolbar {
                background: #f8f9fa;
                border: 1px solid #eee;
                border-radius: 8px;
                padding: 14px 16px;
                display: flex;
                flex-wrap: wrap;
                gap: 14px;
                align-items: flex-end;
                margin: 14px 0
            }

            .da-wrap .da-field {
                display: flex;
                flex-direction: column;
                gap: 5px
            }

            .da-wrap .da-field label {
                font-size: 13px;
                font-weight: 600;
                color: #333;
                margin: 0
            }

            .da-wrap .da-field select,
            .da-wrap .da-field input {
                padding: 8px 11px;
                border: 1px solid #c4cedb;
                border-radius: 6px;
                font-size: 14px;
                min-width: 180px;
                background: #fff;
                color: #2b2f36
            }

            .da-wrap .da-btn {
                background: #0d6efd;
                color: #fff;
                border: 0;
                border-radius: 6px;
                padding: 9px 18px;
                font-size: 14px;
                font-weight: 600;
                cursor: pointer;
                display: inline-flex;
                align-items: center;
                gap: 6px
            }

            .da-wrap .da-btn:hover {
                background: #0a58ca
            }

            .da-wrap .da-btn:disabled {
                opacity: .55;
                cursor: progress
            }

            .da-wrap .da-btn-mini {
                background: #fff;
                color: #0a58ca;
                border: 1px solid #b9c9e6;
                border-radius: 5px;
                padding: 6px 12px;
                font-size: 12.5px;
                font-weight: 600;
                cursor: pointer;
                text-decoration: none;
                display: inline-block
            }

            .da-wrap .da-btn-mini:hover {
                background: #0d6efd;
                color: #fff;
                border-color: #0d6efd
            }

            .da-wrap .da-btn-mini:disabled {
                opacity: .5;
                cursor: progress
            }

            .da-wrap .da-busca-wrap {
                position: relative;
                margin: 8px 0 14px
            }

            .da-wrap .da-busca-wrap .dashicons {
                position: absolute;
                left: 10px;
                top: 50%;
                transform: translateY(-50%);
                color: #888
            }

            .da-wrap #daBusca {
                width: 100%;
                padding: 10px 16px 10px 38px;
                border: 1px solid #ddd;
                border-radius: 5px;
                font-size: 14px;
                color: #333;
                outline: none
            }

            .da-wrap #daListaCatalogo {
                display: flex;
                flex-direction: column;
                gap: 22px;
                margin-top: 12px
            }

            .da-wrap .da-grupo-titulo {
                font-size: 15px;
                font-weight: 700;
                color: #0a58ca;
                margin: 0 0 10px;
                text-transform: uppercase;
                letter-spacing: .4px;
                display: flex;
                align-items: center;
                gap: 8px
            }

            .da-wrap .da-cards {
                display: grid;
                grid-template-columns: repeat(auto-fill, minmax(290px, 1fr));
                gap: 14px
            }

            .da-wrap .da-card {
                background: #fff;
                border: 1px solid #e6eaef;
                border-radius: 10px;
                padding: 14px 16px;
                display: flex;
                flex-direction: column;
                position: relative
            }

            .da-wrap .da-card .dashicons.da-ico {
                font-size: 28px;
                width: 28px;
                height: 28px;
                color: #0d6efd;
                margin-bottom: .4rem
            }

            .da-wrap .da-card h6 {
                font-size: 15px;
                font-weight: 700;
                margin: 0 0 6px;
                color: #111827
            }

            .da-wrap .da-card>p {
                font-size: 13px;
                color: #5b6470;
                margin: 0 0 10px;
                flex: 1
            }

            .da-wrap .da-meta {
                list-style: none;
                padding: 0;
                margin: 0 0 12px;
                font-size: 12px;
                color: #42505f
            }

            .da-wrap .da-meta li {
                padding: 2px 0
            }

            .da-wrap .da-meta b {
                color: #0a58ca
            }

            .da-wrap .da-fonte-tag {
                position: absolute;
                top: 12px;
                right: 12px;
                font-size: 10px;
                font-weight: 700;
                padding: 2px 8px;
                border-radius: 999px;
                text-transform: uppercase;
                letter-spacing: .03em
            }

            .da-wrap .da-fonte-sapl {
                background: #dbeafe;
                color: #1e40af
            }

            .da-wrap .da-fonte-wp {
                background: #dcfce7;
                color: #166534
            }

            .da-wrap .da-card-actions {
                display: flex;
                flex-wrap: wrap;
                gap: 7px
            }

            .da-wrap .da-status {
                font-size: 11.5px;
                color: #777;
                min-height: 15px;
                margin-top: 8px
            }

            .da-wrap .da-status.erro {
                color: #b5341f
            }

            .da-wrap .da-status.ok {
                color: #1d7a3e
            }

            .da-wrap .da-sem-resultados {
                display: none;
                text-align: center;
                padding: 30px;
                color: #888
            }

            .da-wrap .da-info {
                font-size: 13.5px;
                color: #555;
                margin: 6px 0
            }

            .da-wrap .da-loader {
                display: none;
                text-align: center;
                padding: 24px;
                color: #666
            }

            .da-wrap .da-spin {
                animation: daspin 1s linear infinite
            }

            @keyframes daspin {
                to {
                    transform: rotate(360deg)
                }
            }

            .da-wrap .da-table-wrap {
                overflow-x: auto
            }

            .da-wrap #daTabela {
                width: 100%;
                border-collapse: collapse
            }

            .da-wrap #daTabela thead th {
                background: #0a58ca;
                color: #fff;
                font-size: 12px;
                text-transform: uppercase;
                letter-spacing: .2px;
                padding: 9px 10px;
                text-align: left;
                white-space: nowrap
            }

            .da-wrap #daTabela tbody td {
                font-size: 13px;
                padding: 8px 10px;
                border-bottom: 1px solid #eee;
                vertical-align: top
            }

            .da-wrap #daTabela tbody tr:hover {
                background: #f7faff
            }

            .da-wrap .da-paginacao {
                display: flex;
                justify-content: center;
                align-items: center;
                gap: 8px;
                flex-wrap: wrap;
                margin: 16px 0
            }

            .da-wrap .da-page-input {
                width: 64px;
                text-align: center;
                border: 1px solid #ddd;
                border-radius: 5px;
                padding: 5px
            }

            .da-wrap .da-licenca {
                background: #f4f9f0;
                border: 1px solid #dcebd0;
                border-left: 4px solid #198754;
                border-radius: 8px;
                padding: 14px 18px;
                margin: 10px 0
            }

            .da-wrap .da-licenca ul {
                margin: 8px 0 0;
                padding-left: 18px
            }

            .da-wrap .da-licenca li {
                font-size: 14px;
                margin-bottom: 5px
            }

            .da-wrap .da-fundamentacao {
                padding-left: 20px
            }

            .da-wrap .da-fundamentacao li {
                margin: 5px 0;
                font-size: 14px
            }

            .da-modal {
                display: none;
                position: fixed;
                inset: 0;
                z-index: 99999
            }

            .da-modal.aberto {
                display: block
            }

            .da-modal-bg {
                position: absolute;
                inset: 0;
                background: rgba(0, 0, 0, .5)
            }

            .da-modal-box {
                position: relative;
                max-width: 680px;
                margin: 6vh auto;
                background: #fff;
                border-radius: 10px;
                max-height: 80vh;
                display: flex;
                flex-direction: column;
                overflow: hidden
            }

            .da-modal-head {
                display: flex;
                justify-content: space-between;
                align-items: center;
                background: #0a58ca;
                color: #fff;
                padding: 12px 16px
            }

            .da-modal-x {
                background: none;
                border: 0;
                color: #fff;
                font-size: 26px;
                line-height: 1;
                cursor: pointer
            }

            .da-modal-body {
                padding: 14px 16px;
                overflow: auto
            }

            .da-modal-body .lin {
                display: flex;
                gap: 10px;
                border-bottom: 1px solid #eee;
                padding: 7px 0
            }

            .da-modal-body .lin b {
                min-width: 38%;
                color: #555
            }

            @media(max-width:600px) {
                .da-wrap .da-label {
                    min-width: 100%
                }

                .da-wrap .da-field select,
                .da-wrap .da-field input {
                    min-width: 100%
                }
            }
        

        
            (function() {
                "use strict";
                var CFG = window.CMOB_DA || {
                    grupos: []
                };
                var FLAT = [];
                CFG.grupos.forEach(function(g) {
                    g.itens.forEach(function(it) {
                        it._grupo = g.grupo;
                        FLAT.push(it);
                    });
                });

                function el(id) {
                    return document.getElementById(id);
                }

                function esc(s) {
                    return String(s == null ? '' : s).replace(/&/g, '&amp;').replace(//g, '&gt;').replace(/"/g, '&quot;');
                }

                function porSlug(s) {
                    for (var i = 0; i < FLAT.length; i++) {
                        if (FLAT[i].slug === s) return FLAT[i];
                    }
                    return null;
                }

                function stripTags(s) {
                    var d = document.createElement('div');
                    d.innerHTML = String(s == null ? '' : s);
                    return (d.textContent || d.innerText || '').trim();
                }

                // ---------- URLs ----------
                function urlSaplPagina(slug, page) {
                    return CFG.saplProxy + (CFG.saplProxy.indexOf('?') > -1 ? '&' : '?') + 'modulo=' + encodeURIComponent(slug) + '&page=' + page;
                }

                function urlWpPagina(slug, page, perPage, campos) {
                    var u = CFG.wpBase + '/' + slug + '?page=' + page + '&per_page=' + perPage;
                    if (campos) u += '&_fields=' + campos;
                    return u;
                }

                function urlApi(c) {
                    return c.fonte === 'sapl' ? urlSaplPagina(c.slug, 1) : (CFG.wpBase + '/' + c.slug);
                }

                // ---------- Fetch (uma página) ----------
                function paginaConjunto(c, page, perPage, camposLimitados) {
                    if (c.fonte === 'sapl') {
                        return fetch(urlSaplPagina(c.slug, page), {
                                headers: {
                                    'Accept': 'application/json'
                                }
                            })
                            .then(function(r) {
                                if (!r.ok) throw new Error('HTTP ' + r.status);
                                return r.json();
                            })
                            .then(function(j) {
                                var pg = j.pagination || {};
                                return {
                                    registros: j.results || [],
                                    totalPaginas: pg.total_pages || 1,
                                    totalItens: pg.total_entries || (j.results ? j.results.length : 0)
                                };
                            });
                    }
                    var campos = camposLimitados ? 'id,date,title,link,slug' : '';
                    return fetch(urlWpPagina(c.slug, page, perPage, campos), {
                            headers: {
                                'Accept': 'application/json'
                            }
                        })
                        .then(function(r) {
                            if (!r.ok) throw new Error('HTTP ' + r.status);
                            var pgs = parseInt(r.headers.get('X-WP-TotalPages') || '1', 10);
                            var tot = parseInt(r.headers.get('X-WP-Total') || '0', 10);
                            return r.json().then(function(arr) {
                                return {
                                    registros: arr || [],
                                    totalPaginas: pgs || 1,
                                    totalItens: tot || (arr ? arr.length : 0)
                                };
                            });
                        });
                }

                // varre todas as páginas (download completo)
                function todasPaginas(c, aoProgresso) {
                    var todos = [],
                        page = 1,
                        totalPaginas = 1,
                        perPage = (c.fonte === 'wp' ? 100 : 10);

                    function passo() {
                        if (aoProgresso) aoProgresso('Baixando página ' + page + ' de ' + totalPaginas + '…');
                        return paginaConjunto(c, page, perPage, false).then(function(res) {
                            todos = todos.concat(res.registros || []);
                            totalPaginas = res.totalPaginas || 1;
                            page++;
                            if (page </w:t></w:r></w:p><w:sectPr><w:headerReference w:type="default" r:id="rId7"/><w:footerReference w:type="default" r:id="rId8"/><w:pgSz w:orient="portrait" w:w="11905.511811023621703498065471649169921875" w:h="16837.795275590549863409250974655151367187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8"/>
        <w:szCs w:val="18"/>
      </w:rPr>
      <w:t xml:space="preserve">Página </w:t>
    </w:r>
    <w:r>
      <w:fldChar w:fldCharType="begin"/>
    </w:r>
    <w:r>
      <w:rPr>
        <w:sz w:val="18"/>
        <w:szCs w:val="18"/>
      </w:rPr>
      <w:instrText xml:space="preserve">PAGE</w:instrText>
    </w:r>
    <w:r>
      <w:fldChar w:fldCharType="separate"/>
    </w:r>
    <w:r>
      <w:fldChar w:fldCharType="end"/>
    </w:r>
    <w:r>
      <w:rPr>
        <w:sz w:val="18"/>
        <w:szCs w:val="18"/>
      </w:rPr>
      <w:t xml:space="preserve"> de </w:t>
    </w:r>
    <w:r>
      <w:fldChar w:fldCharType="begin"/>
    </w:r>
    <w:r>
      <w:rPr>
        <w:sz w:val="18"/>
        <w:szCs w:val="18"/>
      </w:rPr>
      <w:instrText xml:space="preserve">NUMPAGES</w:instrText>
    </w:r>
    <w:r>
      <w:fldChar w:fldCharType="separate"/>
    </w:r>
    <w:r>
      <w:fldChar w:fldCharType="end"/>
    </w:r>
  </w:p>
  <w:p>
    <w:pPr/>
    <w:r>
      <w:rPr>
        <w:sz w:val="16"/>
        <w:szCs w:val="16"/>
      </w:rPr>
      <w:t xml:space="preserve">Câmara Municipal de Ouro Branco - RN | Documento gerado automaticamente em 19/10/2026</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70pt; height:70pt; margin-left:0pt; margin-top:0pt; mso-position-horizontal:left; mso-position-vertical:top; mso-position-horizontal-relative:char; mso-position-vertical-relative:line;">
          <w10:wrap type="inline"/>
          <v:imagedata r:id="rId1" o:title=""/>
        </v:shape>
      </w:pict>
    </w:r>
  </w:p>
  <w:p/>
  <w:p>
    <w:pPr>
      <w:pStyle w:val="centralizado"/>
    </w:pPr>
    <w:r>
      <w:rPr>
        <w:sz w:val="36"/>
        <w:szCs w:val="36"/>
        <w:b w:val="1"/>
        <w:bCs w:val="1"/>
      </w:rPr>
      <w:t xml:space="preserve">Câmara Municipal de Ouro Branco - RN</w:t>
    </w:r>
  </w:p>
  <w:p>
    <w:pPr>
      <w:pStyle w:val="centralizado"/>
    </w:pPr>
    <w:r>
      <w:rPr>
        <w:color w:val="0000FF"/>
        <w:sz w:val="20"/>
        <w:szCs w:val="20"/>
        <w:i w:val="1"/>
        <w:iCs w:val="1"/>
      </w:rPr>
      <w:t xml:space="preserve">https://cmob.rn.gov.br/dados-abertos/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centralizado">
    <w:name w:val="centralizado"/>
    <w:basedOn w:val="Normal"/>
    <w:pPr>
      <w:jc w:val="cente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2026-10-19T06:53:26+00:00</dcterms:created>
  <dcterms:modified xsi:type="dcterms:W3CDTF">2026-10-19T06:53:26+00:00</dcterms:modified>
</cp:coreProperties>
</file>

<file path=docProps/custom.xml><?xml version="1.0" encoding="utf-8"?>
<Properties xmlns="http://schemas.openxmlformats.org/officeDocument/2006/custom-properties" xmlns:vt="http://schemas.openxmlformats.org/officeDocument/2006/docPropsVTypes"/>
</file>