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Links Úteis</w:t>
      </w:r>
      <w:bookmarkEnd w:id="0"/>
    </w:p>
    <w:p>
      <w:pPr/>
      <w:r>
        <w:rPr>
          <w:sz w:val="22"/>
          <w:szCs w:val="22"/>
        </w:rPr>
        <w:t xml:space="preserve">
Código Penal
Estatuto do Idoso
Código Civil
Código de Defesa do Consumidor
Código de Trânsito Brasileiro
Código Eleitoral
Constituição Federal
Estatuto da Criança e do Adolescente
Lei Maria da Penha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04/09/2026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https://cmob.rn.gov.br/links-uteis/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2026-09-04T17:53:40+00:00</dcterms:created>
  <dcterms:modified xsi:type="dcterms:W3CDTF">2026-09-04T17:53:40+00:00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