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Links Úteis</w:t>
      </w:r>
      <w:bookmarkEnd w:id="0"/>
    </w:p>
    <w:p>
      <w:pPr/>
      <w:r>
        <w:rPr>
          <w:sz w:val="22"/>
          <w:szCs w:val="22"/>
        </w:rPr>
        <w:t xml:space="preserve">
Código Penal
Estatuto do Idoso
Código Civil
Código de Defesa do Consumidor
Código de Trânsito Brasileiro
Código Eleitoral
Constituição Federal
Estatuto da Criança e do Adolescente
Lei Maria da Penha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https://cmob.rn.gov.br/links-uteis/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2026-03-07T06:44:02+00:00</dcterms:created>
  <dcterms:modified xsi:type="dcterms:W3CDTF">2026-03-07T06:44:02+00:00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