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Câmara Municipal recebe Selo Diamante de Transparência</w:t>
      </w:r>
      <w:bookmarkEnd w:id="0"/>
    </w:p>
    <w:p>
      <w:pPr/>
      <w:r>
        <w:rPr>
          <w:sz w:val="22"/>
          <w:szCs w:val="22"/>
        </w:rPr>
        <w:t xml:space="preserve">
A Câmara Municipal conquistou o Selo Diamante de Transparência, reconhecimento concedido pelo Tribunal de Contas do Estado (TCE) às instituições que se destacam pelo compromisso com a transparência pública, o acesso à informação e a boa gestão dos recursos.
A solenidade de entrega do selo contou com a representação da Câmara por meio dos servidores Maria de Lourdes e Iuri Lucena, além dos vereadores: Ana Maíza e José Josedec, que estiveram presentes recebendo a certificação em nome de todos os vereadores e servidores da Casa Legislativa.
O Selo Diamante é o mais alto nível de avaliação em transparência, refletindo o esforço conjunto do Legislativo e de sua equipe técnica para garantir que informações institucionais, administrativas e financeiras estejam disponíveis de forma clara e acessível à população.
A conquista reforça o compromisso da Câmara Municipal com a responsabilidade, a ética e o fortalecimento da democracia, valorizando o controle social e a confiança dos cidadãos no serviço público.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21/07/2026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https://cmob.rn.gov.br/noticias/camara-municipal-recebe-selo-diamante-de-transparencia/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2026-07-21T08:46:31+00:00</dcterms:created>
  <dcterms:modified xsi:type="dcterms:W3CDTF">2026-07-21T08:46:31+00:00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